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80" w:type="dxa"/>
        <w:tblCellSpacing w:w="0" w:type="dxa"/>
        <w:tblCellMar>
          <w:top w:w="75" w:type="dxa"/>
          <w:left w:w="75" w:type="dxa"/>
          <w:bottom w:w="75" w:type="dxa"/>
          <w:right w:w="75" w:type="dxa"/>
        </w:tblCellMar>
        <w:tblLook w:val="04A0"/>
      </w:tblPr>
      <w:tblGrid>
        <w:gridCol w:w="8580"/>
      </w:tblGrid>
      <w:tr w:rsidR="00E34609" w:rsidRPr="00E34609">
        <w:trPr>
          <w:tblCellSpacing w:w="0" w:type="dxa"/>
        </w:trPr>
        <w:tc>
          <w:tcPr>
            <w:tcW w:w="8580" w:type="dxa"/>
            <w:tcMar>
              <w:top w:w="150" w:type="dxa"/>
              <w:left w:w="90" w:type="dxa"/>
              <w:bottom w:w="150" w:type="dxa"/>
              <w:right w:w="75" w:type="dxa"/>
            </w:tcMar>
            <w:hideMark/>
          </w:tcPr>
          <w:p w:rsidR="00E34609" w:rsidRPr="00E34609" w:rsidRDefault="00E34609" w:rsidP="00E34609">
            <w:pPr>
              <w:widowControl/>
              <w:spacing w:after="240"/>
              <w:jc w:val="center"/>
              <w:rPr>
                <w:rFonts w:asciiTheme="minorEastAsia" w:hAnsiTheme="minorEastAsia" w:cs="宋体" w:hint="eastAsia"/>
                <w:b/>
                <w:bCs/>
                <w:color w:val="000000"/>
                <w:kern w:val="0"/>
                <w:sz w:val="32"/>
                <w:szCs w:val="32"/>
              </w:rPr>
            </w:pPr>
            <w:r w:rsidRPr="00E34609">
              <w:rPr>
                <w:rFonts w:asciiTheme="minorEastAsia" w:hAnsiTheme="minorEastAsia" w:cs="宋体" w:hint="eastAsia"/>
                <w:b/>
                <w:bCs/>
                <w:color w:val="000000"/>
                <w:kern w:val="0"/>
                <w:sz w:val="32"/>
                <w:szCs w:val="32"/>
              </w:rPr>
              <w:t>千万资金为儿童歌曲产业“造血”</w:t>
            </w:r>
          </w:p>
          <w:p w:rsidR="00E34609" w:rsidRPr="00E34609" w:rsidRDefault="00E34609" w:rsidP="00E34609">
            <w:pPr>
              <w:widowControl/>
              <w:spacing w:after="240"/>
              <w:jc w:val="center"/>
              <w:rPr>
                <w:rFonts w:asciiTheme="minorEastAsia" w:hAnsiTheme="minorEastAsia" w:cs="宋体"/>
                <w:color w:val="000000"/>
                <w:kern w:val="0"/>
                <w:szCs w:val="21"/>
              </w:rPr>
            </w:pPr>
            <w:r w:rsidRPr="00E34609">
              <w:rPr>
                <w:rFonts w:asciiTheme="minorEastAsia" w:hAnsiTheme="minorEastAsia" w:cs="宋体" w:hint="eastAsia"/>
                <w:b/>
                <w:bCs/>
                <w:color w:val="000000"/>
                <w:kern w:val="0"/>
                <w:szCs w:val="21"/>
              </w:rPr>
              <w:t xml:space="preserve">北京商报 2010-08-30 </w:t>
            </w:r>
          </w:p>
        </w:tc>
      </w:tr>
    </w:tbl>
    <w:p w:rsidR="00E34609" w:rsidRPr="00E34609" w:rsidRDefault="00E34609" w:rsidP="00E34609">
      <w:pPr>
        <w:widowControl/>
        <w:jc w:val="left"/>
        <w:rPr>
          <w:rFonts w:asciiTheme="minorEastAsia" w:hAnsiTheme="minorEastAsia" w:cs="宋体"/>
          <w:vanish/>
          <w:color w:val="000000"/>
          <w:kern w:val="0"/>
          <w:szCs w:val="21"/>
        </w:rPr>
      </w:pPr>
    </w:p>
    <w:tbl>
      <w:tblPr>
        <w:tblW w:w="5000" w:type="pct"/>
        <w:tblCellSpacing w:w="0" w:type="dxa"/>
        <w:tblBorders>
          <w:bottom w:val="dashed" w:sz="6" w:space="0" w:color="555555"/>
        </w:tblBorders>
        <w:tblCellMar>
          <w:top w:w="90" w:type="dxa"/>
          <w:left w:w="90" w:type="dxa"/>
          <w:bottom w:w="90" w:type="dxa"/>
          <w:right w:w="90" w:type="dxa"/>
        </w:tblCellMar>
        <w:tblLook w:val="04A0"/>
      </w:tblPr>
      <w:tblGrid>
        <w:gridCol w:w="8202"/>
        <w:gridCol w:w="194"/>
      </w:tblGrid>
      <w:tr w:rsidR="00E34609" w:rsidRPr="00E34609">
        <w:trPr>
          <w:tblCellSpacing w:w="0" w:type="dxa"/>
        </w:trPr>
        <w:tc>
          <w:tcPr>
            <w:tcW w:w="0" w:type="auto"/>
            <w:shd w:val="clear" w:color="auto" w:fill="FFFFFF"/>
            <w:vAlign w:val="center"/>
            <w:hideMark/>
          </w:tcPr>
          <w:tbl>
            <w:tblPr>
              <w:tblW w:w="0" w:type="auto"/>
              <w:jc w:val="center"/>
              <w:tblCellSpacing w:w="15" w:type="dxa"/>
              <w:shd w:val="clear" w:color="auto" w:fill="D8D9BD"/>
              <w:tblCellMar>
                <w:top w:w="15" w:type="dxa"/>
                <w:left w:w="15" w:type="dxa"/>
                <w:bottom w:w="15" w:type="dxa"/>
                <w:right w:w="15" w:type="dxa"/>
              </w:tblCellMar>
              <w:tblLook w:val="04A0"/>
            </w:tblPr>
            <w:tblGrid>
              <w:gridCol w:w="5610"/>
            </w:tblGrid>
            <w:tr w:rsidR="00E34609" w:rsidRPr="00E34609">
              <w:trPr>
                <w:tblCellSpacing w:w="15" w:type="dxa"/>
                <w:jc w:val="center"/>
              </w:trPr>
              <w:tc>
                <w:tcPr>
                  <w:tcW w:w="0" w:type="auto"/>
                  <w:shd w:val="clear" w:color="auto" w:fill="D8D9BD"/>
                  <w:vAlign w:val="center"/>
                  <w:hideMark/>
                </w:tcPr>
                <w:tbl>
                  <w:tblPr>
                    <w:tblW w:w="0" w:type="auto"/>
                    <w:tblCellSpacing w:w="15" w:type="dxa"/>
                    <w:tblCellMar>
                      <w:top w:w="15" w:type="dxa"/>
                      <w:left w:w="15" w:type="dxa"/>
                      <w:bottom w:w="15" w:type="dxa"/>
                      <w:right w:w="15" w:type="dxa"/>
                    </w:tblCellMar>
                    <w:tblLook w:val="04A0"/>
                  </w:tblPr>
                  <w:tblGrid>
                    <w:gridCol w:w="5520"/>
                  </w:tblGrid>
                  <w:tr w:rsidR="00E34609" w:rsidRPr="00E34609">
                    <w:trPr>
                      <w:tblCellSpacing w:w="15" w:type="dxa"/>
                    </w:trPr>
                    <w:tc>
                      <w:tcPr>
                        <w:tcW w:w="0" w:type="auto"/>
                        <w:vAlign w:val="center"/>
                        <w:hideMark/>
                      </w:tcPr>
                      <w:p w:rsidR="00E34609" w:rsidRPr="00E34609" w:rsidRDefault="00E34609" w:rsidP="00E34609">
                        <w:pPr>
                          <w:widowControl/>
                          <w:jc w:val="left"/>
                          <w:rPr>
                            <w:rFonts w:asciiTheme="minorEastAsia" w:hAnsiTheme="minorEastAsia" w:cs="宋体"/>
                            <w:color w:val="000000"/>
                            <w:kern w:val="0"/>
                            <w:szCs w:val="21"/>
                          </w:rPr>
                        </w:pPr>
                        <w:r w:rsidRPr="00E34609">
                          <w:rPr>
                            <w:rFonts w:asciiTheme="minorEastAsia" w:hAnsiTheme="minorEastAsia" w:cs="宋体"/>
                            <w:noProof/>
                            <w:color w:val="000000"/>
                            <w:kern w:val="0"/>
                            <w:szCs w:val="21"/>
                          </w:rPr>
                          <w:drawing>
                            <wp:inline distT="0" distB="0" distL="0" distR="0">
                              <wp:extent cx="3429000" cy="4362450"/>
                              <wp:effectExtent l="19050" t="0" r="0" b="0"/>
                              <wp:docPr id="1" name="图片 1" descr="http://www.bjbusiness.com.cn/site1/bjsb/res/1/20100822/52341282485219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jbusiness.com.cn/site1/bjsb/res/1/20100822/52341282485219859.jpg"/>
                                      <pic:cNvPicPr>
                                        <a:picLocks noChangeAspect="1" noChangeArrowheads="1"/>
                                      </pic:cNvPicPr>
                                    </pic:nvPicPr>
                                    <pic:blipFill>
                                      <a:blip r:embed="rId6"/>
                                      <a:srcRect/>
                                      <a:stretch>
                                        <a:fillRect/>
                                      </a:stretch>
                                    </pic:blipFill>
                                    <pic:spPr bwMode="auto">
                                      <a:xfrm>
                                        <a:off x="0" y="0"/>
                                        <a:ext cx="3429000" cy="4362450"/>
                                      </a:xfrm>
                                      <a:prstGeom prst="rect">
                                        <a:avLst/>
                                      </a:prstGeom>
                                      <a:noFill/>
                                      <a:ln w="9525">
                                        <a:noFill/>
                                        <a:miter lim="800000"/>
                                        <a:headEnd/>
                                        <a:tailEnd/>
                                      </a:ln>
                                    </pic:spPr>
                                  </pic:pic>
                                </a:graphicData>
                              </a:graphic>
                            </wp:inline>
                          </w:drawing>
                        </w:r>
                      </w:p>
                    </w:tc>
                  </w:tr>
                  <w:tr w:rsidR="00E34609" w:rsidRPr="00E34609">
                    <w:trPr>
                      <w:tblCellSpacing w:w="15" w:type="dxa"/>
                    </w:trPr>
                    <w:tc>
                      <w:tcPr>
                        <w:tcW w:w="0" w:type="auto"/>
                        <w:vAlign w:val="center"/>
                        <w:hideMark/>
                      </w:tcPr>
                      <w:p w:rsidR="00E34609" w:rsidRPr="00E34609" w:rsidRDefault="00E34609" w:rsidP="00E34609">
                        <w:pPr>
                          <w:widowControl/>
                          <w:jc w:val="left"/>
                          <w:rPr>
                            <w:rFonts w:asciiTheme="minorEastAsia" w:hAnsiTheme="minorEastAsia" w:cs="宋体"/>
                            <w:color w:val="000000"/>
                            <w:kern w:val="0"/>
                            <w:szCs w:val="21"/>
                          </w:rPr>
                        </w:pPr>
                      </w:p>
                    </w:tc>
                  </w:tr>
                </w:tbl>
                <w:p w:rsidR="00E34609" w:rsidRPr="00E34609" w:rsidRDefault="00E34609" w:rsidP="00E34609">
                  <w:pPr>
                    <w:widowControl/>
                    <w:jc w:val="left"/>
                    <w:rPr>
                      <w:rFonts w:asciiTheme="minorEastAsia" w:hAnsiTheme="minorEastAsia" w:cs="宋体"/>
                      <w:color w:val="000000"/>
                      <w:kern w:val="0"/>
                      <w:szCs w:val="21"/>
                    </w:rPr>
                  </w:pPr>
                </w:p>
              </w:tc>
            </w:tr>
            <w:tr w:rsidR="00E34609" w:rsidRPr="00E34609">
              <w:trPr>
                <w:tblCellSpacing w:w="15" w:type="dxa"/>
                <w:jc w:val="center"/>
              </w:trPr>
              <w:tc>
                <w:tcPr>
                  <w:tcW w:w="0" w:type="auto"/>
                  <w:shd w:val="clear" w:color="auto" w:fill="D8D9BD"/>
                  <w:vAlign w:val="center"/>
                  <w:hideMark/>
                </w:tcPr>
                <w:tbl>
                  <w:tblPr>
                    <w:tblW w:w="0" w:type="auto"/>
                    <w:tblCellSpacing w:w="15" w:type="dxa"/>
                    <w:tblCellMar>
                      <w:top w:w="15" w:type="dxa"/>
                      <w:left w:w="15" w:type="dxa"/>
                      <w:bottom w:w="15" w:type="dxa"/>
                      <w:right w:w="15" w:type="dxa"/>
                    </w:tblCellMar>
                    <w:tblLook w:val="04A0"/>
                  </w:tblPr>
                  <w:tblGrid>
                    <w:gridCol w:w="4860"/>
                  </w:tblGrid>
                  <w:tr w:rsidR="00E34609" w:rsidRPr="00E34609">
                    <w:trPr>
                      <w:tblCellSpacing w:w="15" w:type="dxa"/>
                    </w:trPr>
                    <w:tc>
                      <w:tcPr>
                        <w:tcW w:w="0" w:type="auto"/>
                        <w:vAlign w:val="center"/>
                        <w:hideMark/>
                      </w:tcPr>
                      <w:p w:rsidR="00E34609" w:rsidRPr="00E34609" w:rsidRDefault="00E34609" w:rsidP="00E34609">
                        <w:pPr>
                          <w:widowControl/>
                          <w:jc w:val="left"/>
                          <w:rPr>
                            <w:rFonts w:asciiTheme="minorEastAsia" w:hAnsiTheme="minorEastAsia" w:cs="宋体"/>
                            <w:color w:val="000000"/>
                            <w:kern w:val="0"/>
                            <w:szCs w:val="21"/>
                          </w:rPr>
                        </w:pPr>
                        <w:r w:rsidRPr="00E34609">
                          <w:rPr>
                            <w:rFonts w:asciiTheme="minorEastAsia" w:hAnsiTheme="minorEastAsia" w:cs="宋体"/>
                            <w:noProof/>
                            <w:color w:val="000000"/>
                            <w:kern w:val="0"/>
                            <w:szCs w:val="21"/>
                          </w:rPr>
                          <w:drawing>
                            <wp:inline distT="0" distB="0" distL="0" distR="0">
                              <wp:extent cx="3000375" cy="2114550"/>
                              <wp:effectExtent l="19050" t="0" r="9525" b="0"/>
                              <wp:docPr id="2" name="图片 2" descr="http://www.bjbusiness.com.cn/site1/bjsb/res/1/20100822/59091282485219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jbusiness.com.cn/site1/bjsb/res/1/20100822/59091282485219875.jpg"/>
                                      <pic:cNvPicPr>
                                        <a:picLocks noChangeAspect="1" noChangeArrowheads="1"/>
                                      </pic:cNvPicPr>
                                    </pic:nvPicPr>
                                    <pic:blipFill>
                                      <a:blip r:embed="rId7"/>
                                      <a:srcRect/>
                                      <a:stretch>
                                        <a:fillRect/>
                                      </a:stretch>
                                    </pic:blipFill>
                                    <pic:spPr bwMode="auto">
                                      <a:xfrm>
                                        <a:off x="0" y="0"/>
                                        <a:ext cx="3000375" cy="2114550"/>
                                      </a:xfrm>
                                      <a:prstGeom prst="rect">
                                        <a:avLst/>
                                      </a:prstGeom>
                                      <a:noFill/>
                                      <a:ln w="9525">
                                        <a:noFill/>
                                        <a:miter lim="800000"/>
                                        <a:headEnd/>
                                        <a:tailEnd/>
                                      </a:ln>
                                    </pic:spPr>
                                  </pic:pic>
                                </a:graphicData>
                              </a:graphic>
                            </wp:inline>
                          </w:drawing>
                        </w:r>
                      </w:p>
                    </w:tc>
                  </w:tr>
                  <w:tr w:rsidR="00E34609" w:rsidRPr="00E34609">
                    <w:trPr>
                      <w:tblCellSpacing w:w="15" w:type="dxa"/>
                    </w:trPr>
                    <w:tc>
                      <w:tcPr>
                        <w:tcW w:w="0" w:type="auto"/>
                        <w:vAlign w:val="center"/>
                        <w:hideMark/>
                      </w:tcPr>
                      <w:p w:rsidR="00E34609" w:rsidRPr="00E34609" w:rsidRDefault="00E34609" w:rsidP="00E34609">
                        <w:pPr>
                          <w:widowControl/>
                          <w:jc w:val="left"/>
                          <w:rPr>
                            <w:rFonts w:asciiTheme="minorEastAsia" w:hAnsiTheme="minorEastAsia" w:cs="宋体"/>
                            <w:color w:val="000000"/>
                            <w:kern w:val="0"/>
                            <w:szCs w:val="21"/>
                          </w:rPr>
                        </w:pPr>
                      </w:p>
                    </w:tc>
                  </w:tr>
                </w:tbl>
                <w:p w:rsidR="00E34609" w:rsidRPr="00E34609" w:rsidRDefault="00E34609" w:rsidP="00E34609">
                  <w:pPr>
                    <w:widowControl/>
                    <w:jc w:val="left"/>
                    <w:rPr>
                      <w:rFonts w:asciiTheme="minorEastAsia" w:hAnsiTheme="minorEastAsia" w:cs="宋体"/>
                      <w:color w:val="000000"/>
                      <w:kern w:val="0"/>
                      <w:szCs w:val="21"/>
                    </w:rPr>
                  </w:pPr>
                </w:p>
              </w:tc>
            </w:tr>
          </w:tbl>
          <w:p w:rsidR="00E34609" w:rsidRPr="00E34609" w:rsidRDefault="00E34609" w:rsidP="00E34609">
            <w:pPr>
              <w:widowControl/>
              <w:jc w:val="center"/>
              <w:rPr>
                <w:rFonts w:asciiTheme="minorEastAsia" w:hAnsiTheme="minorEastAsia" w:cs="宋体"/>
                <w:color w:val="000000"/>
                <w:kern w:val="0"/>
                <w:szCs w:val="21"/>
              </w:rPr>
            </w:pPr>
          </w:p>
        </w:tc>
        <w:tc>
          <w:tcPr>
            <w:tcW w:w="0" w:type="auto"/>
            <w:shd w:val="clear" w:color="auto" w:fill="FFFFFF"/>
            <w:tcMar>
              <w:top w:w="90" w:type="dxa"/>
              <w:left w:w="90" w:type="dxa"/>
              <w:bottom w:w="90" w:type="dxa"/>
              <w:right w:w="0" w:type="dxa"/>
            </w:tcMar>
            <w:vAlign w:val="center"/>
            <w:hideMark/>
          </w:tcPr>
          <w:p w:rsidR="00E34609" w:rsidRPr="00E34609" w:rsidRDefault="00E34609" w:rsidP="00E34609">
            <w:pPr>
              <w:widowControl/>
              <w:jc w:val="right"/>
              <w:rPr>
                <w:rFonts w:asciiTheme="minorEastAsia" w:hAnsiTheme="minorEastAsia" w:cs="宋体"/>
                <w:color w:val="000000"/>
                <w:kern w:val="0"/>
                <w:szCs w:val="21"/>
              </w:rPr>
            </w:pPr>
            <w:r w:rsidRPr="00E34609">
              <w:rPr>
                <w:rFonts w:asciiTheme="minorEastAsia" w:hAnsiTheme="minorEastAsia" w:cs="宋体"/>
                <w:color w:val="000000"/>
                <w:kern w:val="0"/>
                <w:szCs w:val="21"/>
              </w:rPr>
              <w:t> </w:t>
            </w:r>
          </w:p>
        </w:tc>
      </w:tr>
      <w:tr w:rsidR="00E34609" w:rsidRPr="00E34609">
        <w:trPr>
          <w:tblCellSpacing w:w="0" w:type="dxa"/>
        </w:trPr>
        <w:tc>
          <w:tcPr>
            <w:tcW w:w="7560" w:type="dxa"/>
            <w:shd w:val="clear" w:color="auto" w:fill="FFFFFF"/>
            <w:vAlign w:val="center"/>
            <w:hideMark/>
          </w:tcPr>
          <w:tbl>
            <w:tblPr>
              <w:tblW w:w="8580" w:type="dxa"/>
              <w:jc w:val="center"/>
              <w:tblCellSpacing w:w="0" w:type="dxa"/>
              <w:tblCellMar>
                <w:left w:w="0" w:type="dxa"/>
                <w:right w:w="0" w:type="dxa"/>
              </w:tblCellMar>
              <w:tblLook w:val="04A0"/>
            </w:tblPr>
            <w:tblGrid>
              <w:gridCol w:w="8580"/>
            </w:tblGrid>
            <w:tr w:rsidR="00E34609" w:rsidRPr="00E34609">
              <w:trPr>
                <w:tblCellSpacing w:w="0" w:type="dxa"/>
                <w:jc w:val="center"/>
              </w:trPr>
              <w:tc>
                <w:tcPr>
                  <w:tcW w:w="0" w:type="auto"/>
                  <w:tcMar>
                    <w:top w:w="0" w:type="dxa"/>
                    <w:left w:w="150" w:type="dxa"/>
                    <w:bottom w:w="0" w:type="dxa"/>
                    <w:right w:w="450" w:type="dxa"/>
                  </w:tcMar>
                  <w:vAlign w:val="center"/>
                  <w:hideMark/>
                </w:tcPr>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对于出生在上世纪60-80年代的人来说，童年离不开《一分钱》、《熊猫咪咪》、《让我们荡起双桨》等经典儿歌，即使岁月已经将皱纹刻上额头，随口也能哼出几句：</w:t>
                  </w:r>
                  <w:r w:rsidRPr="00E34609">
                    <w:rPr>
                      <w:rFonts w:asciiTheme="minorEastAsia" w:hAnsiTheme="minorEastAsia" w:cs="宋体"/>
                      <w:color w:val="000000"/>
                      <w:kern w:val="0"/>
                      <w:szCs w:val="21"/>
                    </w:rPr>
                    <w:lastRenderedPageBreak/>
                    <w:t>“我在马路边捡到一分钱，把它交到警察叔叔手里边……”“竹子开花罗喂，咪咪躺在妈妈的怀里数星星，星星呀星星多美丽……”而如今，优秀儿童歌曲缺乏、儿童音乐等同于流行音乐的现状已成为乐坛十分尴尬的话题。近日，A8音乐董事会主席刘晓松宣布筹集1000万元成立“天使之音”基金会，期望儿童歌曲也能“流行”起来。</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断代的儿童歌曲</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8月12日，就在记者起身出去采访时，偶然遇到了隔壁邻居的小学3年级学生唐晓萧，于是有了以下的一段对话：</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“你喜欢什么儿童歌曲？”</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“儿童歌曲吗？让我想想，哦，《鲁冰花》和《小号螺》。”</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“可这不是我们‘80后’小时候唱的歌吗？你们还唱？”</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“一二年级还唱，现在都不唱了，只是单纯喜欢。”</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“那你现在喜欢唱什么歌啊？”</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“我喜欢JAY的，但更喜欢小猪的。我和同学在一起也是听流行歌曲……”</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随着网络的普及，信息传播形式日趋多元化，儿童歌曲却相对滞后、更新较慢，传播载体大多被流行音乐占领，儿童歌曲的生存空间越来越狭窄，正如前几年的《双截棍》、《老鼠爱大米》、《两只蝴蝶》等流行歌曲和网络歌曲被儿童广为传唱。</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另外，一些改编的“灰色儿童歌曲”被不少孩子奉为“经典”。所谓“灰色儿童歌曲”，是根据流行歌曲和诗词改编的“儿童歌曲桥段”，这与网上对艺术作品的“恶搞”相似。</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现在新创作的好儿童歌曲太少，我们老师教来教去还是一些老儿童歌曲，不仅孩子不喜欢，老师也觉得没劲，所以现在不少小学的音乐课就把儿童诗歌谱曲然后教给孩子，弥补儿童歌曲的不足，这种方式孩子也能接受。”一所小学班主任张欣说，“但这不是解决问题的关键，国内还需要有儿童的创作”。</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曾创作《红星照我去战斗》的中国音乐家协会主席傅庚辰也表示，儿童歌曲创作长期无利可图是令儿童歌曲创作陷入困境的原因之一。目前，为歌手创作一首流行歌曲，创作者往往能拿到近万元稿酬，而发表一首儿童歌曲，稿酬只有三五十元。</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企业有望为儿童歌曲买单</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如今，已经当上爸爸的刘晓松一直被一个问题所困扰，他发现他儿时吟唱的歌曲到了现在他的儿子还在唱。“这说明什么？”在音乐产业闯荡了近15年的他突然发现了一个岌岌可危的现象：中国的儿童歌曲出现了断层、空白。所以他希望能填补这一空白，努力为中国的孩子做点什么。而恰巧在2009年的一个会议上，刘晓松巧遇著名音乐家谷</w:t>
                  </w:r>
                  <w:r w:rsidRPr="00E34609">
                    <w:rPr>
                      <w:rFonts w:asciiTheme="minorEastAsia" w:hAnsiTheme="minorEastAsia" w:cs="宋体"/>
                      <w:color w:val="000000"/>
                      <w:kern w:val="0"/>
                      <w:szCs w:val="21"/>
                    </w:rPr>
                    <w:lastRenderedPageBreak/>
                    <w:t>建芬。刘晓松当即同谷建芬老师讲述了自己的想法，希望能筹建一个儿童歌曲基金会用于帮助中国优秀的儿童歌曲创作者，这个想法得到了谷建芬的认同。就这样，刘晓松在今年正式筹备儿童歌曲基金，并将基金会的名称定为“天使之音”。</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近日，刘晓松宣布个人出资300万元，并通过融资、募集等方式对基金再次筹集700万元，共计1000万元作为启动资金，并将全部用于天使之音的第一年运作，同时借助“儿歌频道”，选出优秀儿童歌曲1-3首进行推广，最后争取使得1首歌曲被广为传唱和流行。</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我的儿子很喜欢唱歌，我希望能让他唱最好听的儿童歌曲。”刘晓松同时强调说，“但现在中国儿童歌曲的现状并不乐观，因为没有形成产业链，也没有市场可言，创作儿童歌曲是一件完全没钱可赚的事情，因此专业的创作者寥寥无几，几乎都是业余的。A8作为上市公司肯定不可能为没有任何收益前景的项目投资。因此，这个项目还只能算是公益项目”。</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但刘晓松表示，未来如果儿童歌曲有盈利前景时，A8将不排除介入其中。据记者了解，A8为辅助天使之音基金会而推出的儿童频道在不到两周的时间内就有数十万次的点击。由此可见儿童歌曲所含的巨大宝藏。“我们现在频道推出还是免费性质，除非内容提供方要求收费，否则我们将一直免费。”</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对于此次成立天使之音基金会将如何保证儿童歌曲能够发展成为产业，刘晓松表示，基金会成立后将分为两个阶段，第一阶段就是寻找和资助儿童歌曲创作者；第二阶段则是为这些歌曲进行市场推广。</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儿童歌曲产业化还有多少路要走？</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儿童歌曲断代，难道是现代音乐家不会写儿童歌曲了吗？答案不言而喻。“目前国内儿童歌曲作家不乏其人，已形成了一个儿童歌曲创作群体，一些出版社也编辑出版了众多儿童歌曲选本。老一辈词曲作家谷建芬、李幼容等人凭着满腔的社会责任感，始终坚持不懈地进行儿童歌曲创作。目前比较活跃的儿童歌曲作者，除了堪称双璧的‘北张南徐’(天津张春明和湖北徐焕云)，还有圣野、郑春华、赵家瑶、张继楼、蒲华清等。”据中国音乐家协会副秘书长韩新安介绍，儿童歌曲缺失的关键是我国缺乏儿童歌曲的市场化运作机制，从儿童歌曲的词曲创作、编曲配器、演员演出包装到传播平台、衍生品开发等多个环节，都缺乏统一的调配与整合，尚未形成产业链条，儿童歌曲推广陷入了仅由政府“买单”的尴尬境地。</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在中国音协理事何继英看来，儿童歌曲断代的主要原因还是因为没有进行产业化和缺乏推广手段。“上世纪七八十年代，中国大多数家庭没有电视，人们接受信息的主要渠道是电台，因此音乐家创作出来的儿童歌曲只要在电台一播，然后经过《广播歌选》杂志的推广，基本上就可以传播开来。而现在音乐家写出歌曲，找歌手唱、录制MTV、搬上电视舞台都需要钱，花费大而市场效果却不一定好。”何继英说，“在这种情况下还有几个人愿意做呢？国内几个省市原本都有一个专门创作儿童歌曲的群体，但现在这些作者为了生存大多已转行了”。</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lastRenderedPageBreak/>
                    <w:t xml:space="preserve">　　“为什么近几十年孩子们找不到属于自己的歌？”李幼容说，儿童歌曲的创作团队断代是最直接的问题，没有人给孩子们写歌。他说，现在的儿童歌曲创作形象地说，就是爷爷给孙子写歌，中青年创作者给儿童写歌的基本没有，而导致这一情况的主要原因之一是，写儿童歌曲很难获得经济收益。</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当前音乐人的工作状态也决定了他们很难写出孩子们喜欢的歌。李幼容表示，现在的音乐创作者基本都采用“订单”形式创作，根据各类影视作品或晚会等活动的需要创作歌曲。而创作以外的时间，这些音乐人也大多待在录音棚里。这种状态使得这些创作者很少能了解孩子的心声，写出孩子们需要的歌。</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著名音乐家谷建芬近年来创作了大量以中国古典诗词为主题的儿童歌曲，并多次在舞台上演出。然而这些歌曲却没有成为孩子们传唱的“热门”。谷建芬儿童歌曲演唱会音乐总监黄歆泉说，儿童歌曲很难与流行歌曲争夺推广渠道。无论是电台、电视台还是网络，流行歌曲在推广过程中有一个完整的产业链在支撑。例如，音乐公司出资让歌手在各类媒体亮相，成本可以从歌手成名后的演出费或代言费中收回，而儿童歌曲则缺乏这样的产业支撑。</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黄歆泉说，商业化是当今中国音乐界的主流，创作在这种氛围中只是一件“活儿”，大多数创作者都是根据雇主的要求按需定制。这种创作模式下即便写出了儿童歌曲，也很难受到孩子们的欢迎。</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儿童歌曲发展可傍“广告”</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在音乐人黄文华看来，针对现在缺乏新儿童歌曲，不少孩子只能唱旧儿童歌曲或成人歌曲的现状，一些儿童文学创作者、音乐工作者积极行动，创作、征集新儿童歌曲。一些好听的新儿童歌曲涌现出来，然而，许多好儿童歌曲流传不开，也令人们忧心忡忡。其实，儿童歌曲的创作和推广可以向电视广告学习。 “前不久，模仿儿童歌曲《吉祥三宝》的广告歌‘美好时光海苔’，近几个月每天在电视上反复播放，会唱的孩子很多，甚至还‘提携’原歌《吉祥三宝》扩大了影响。很显然，电视广告这种传播形式发挥了决定性的作用。既然如此，我们为什么不能反过来，在推广新儿童歌曲时，借鉴电视广告呢？”黄文华说。</w:t>
                  </w:r>
                </w:p>
                <w:p w:rsidR="00E34609" w:rsidRPr="00E34609" w:rsidRDefault="00E34609" w:rsidP="00E34609">
                  <w:pPr>
                    <w:widowControl/>
                    <w:spacing w:before="100" w:beforeAutospacing="1" w:after="100" w:afterAutospacing="1" w:line="315" w:lineRule="atLeast"/>
                    <w:jc w:val="left"/>
                    <w:rPr>
                      <w:rFonts w:asciiTheme="minorEastAsia" w:hAnsiTheme="minorEastAsia" w:cs="宋体"/>
                      <w:color w:val="000000"/>
                      <w:kern w:val="0"/>
                      <w:szCs w:val="21"/>
                    </w:rPr>
                  </w:pPr>
                  <w:r w:rsidRPr="00E34609">
                    <w:rPr>
                      <w:rFonts w:asciiTheme="minorEastAsia" w:hAnsiTheme="minorEastAsia" w:cs="宋体"/>
                      <w:color w:val="000000"/>
                      <w:kern w:val="0"/>
                      <w:szCs w:val="21"/>
                    </w:rPr>
                    <w:t xml:space="preserve">　　黄文华认为，电视广告推广之快，至少得益于几个因素：一是传播速度快，范围广；二是重复播放，不断加深印象；三是利用多媒体的方式，生动形象，吸引力很强；四是简短明快，特色显著，易记易唱。试想，具备了这几条，新儿童歌曲能不迅速流传吗？“当然，真要像广告那样包装、推广儿童歌曲也有困难。核心问题是：谁来出钱？如果电视台挤出黄金时间普及优秀儿童歌曲，影响广告收入怎么办？企业如没有收益，肯不肯花钱推广儿童歌曲？就算为了孩子，各方都愿意牺牲一点利益，谁又能出面来组织？我们能否设想，让更多的广告创意与优秀儿童歌曲的推广普及结合起来，让更多的企业、儿童歌曲词曲作者、广告媒体携起手来，让更多的公益广告采用儿童歌曲的形式……这样，更多更好的儿童歌曲将伴随千百万少年儿童健康成长。”商报记者 徐楠</w:t>
                  </w:r>
                </w:p>
              </w:tc>
            </w:tr>
          </w:tbl>
          <w:p w:rsidR="00E34609" w:rsidRPr="00E34609" w:rsidRDefault="00E34609" w:rsidP="00E34609">
            <w:pPr>
              <w:widowControl/>
              <w:jc w:val="center"/>
              <w:rPr>
                <w:rFonts w:asciiTheme="minorEastAsia" w:hAnsiTheme="minorEastAsia" w:cs="宋体"/>
                <w:color w:val="000000"/>
                <w:kern w:val="0"/>
                <w:szCs w:val="21"/>
              </w:rPr>
            </w:pPr>
          </w:p>
        </w:tc>
        <w:tc>
          <w:tcPr>
            <w:tcW w:w="0" w:type="auto"/>
            <w:shd w:val="clear" w:color="auto" w:fill="FFFFFF"/>
            <w:vAlign w:val="center"/>
            <w:hideMark/>
          </w:tcPr>
          <w:p w:rsidR="00E34609" w:rsidRPr="00E34609" w:rsidRDefault="00E34609" w:rsidP="00E34609">
            <w:pPr>
              <w:widowControl/>
              <w:jc w:val="left"/>
              <w:rPr>
                <w:rFonts w:asciiTheme="minorEastAsia" w:hAnsiTheme="minorEastAsia" w:cs="Times New Roman"/>
                <w:kern w:val="0"/>
                <w:szCs w:val="21"/>
              </w:rPr>
            </w:pPr>
          </w:p>
        </w:tc>
      </w:tr>
    </w:tbl>
    <w:p w:rsidR="00C477C9" w:rsidRPr="00E34609" w:rsidRDefault="00E34609" w:rsidP="00E34609">
      <w:pPr>
        <w:jc w:val="left"/>
        <w:rPr>
          <w:rFonts w:asciiTheme="minorEastAsia" w:hAnsiTheme="minorEastAsia"/>
          <w:szCs w:val="21"/>
        </w:rPr>
      </w:pPr>
      <w:r>
        <w:rPr>
          <w:rFonts w:asciiTheme="minorEastAsia" w:hAnsiTheme="minorEastAsia" w:hint="eastAsia"/>
          <w:szCs w:val="21"/>
        </w:rPr>
        <w:lastRenderedPageBreak/>
        <w:t>（网版链接：</w:t>
      </w:r>
      <w:hyperlink r:id="rId8" w:history="1">
        <w:r w:rsidRPr="006E75F3">
          <w:rPr>
            <w:rStyle w:val="a8"/>
            <w:rFonts w:asciiTheme="minorEastAsia" w:hAnsiTheme="minorEastAsia"/>
            <w:szCs w:val="21"/>
          </w:rPr>
          <w:t>http://www.bjbusiness.com.cn/site1/bjsb/html/2010-08/23/content_108145.htm</w:t>
        </w:r>
      </w:hyperlink>
      <w:r>
        <w:rPr>
          <w:rFonts w:asciiTheme="minorEastAsia" w:hAnsiTheme="minorEastAsia" w:hint="eastAsia"/>
          <w:szCs w:val="21"/>
        </w:rPr>
        <w:t xml:space="preserve"> ）</w:t>
      </w:r>
    </w:p>
    <w:sectPr w:rsidR="00C477C9" w:rsidRPr="00E346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7C9" w:rsidRDefault="00C477C9" w:rsidP="00E34609">
      <w:r>
        <w:separator/>
      </w:r>
    </w:p>
  </w:endnote>
  <w:endnote w:type="continuationSeparator" w:id="1">
    <w:p w:rsidR="00C477C9" w:rsidRDefault="00C477C9" w:rsidP="00E34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7C9" w:rsidRDefault="00C477C9" w:rsidP="00E34609">
      <w:r>
        <w:separator/>
      </w:r>
    </w:p>
  </w:footnote>
  <w:footnote w:type="continuationSeparator" w:id="1">
    <w:p w:rsidR="00C477C9" w:rsidRDefault="00C477C9" w:rsidP="00E34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609"/>
    <w:rsid w:val="00C477C9"/>
    <w:rsid w:val="00E346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4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4609"/>
    <w:rPr>
      <w:sz w:val="18"/>
      <w:szCs w:val="18"/>
    </w:rPr>
  </w:style>
  <w:style w:type="paragraph" w:styleId="a4">
    <w:name w:val="footer"/>
    <w:basedOn w:val="a"/>
    <w:link w:val="Char0"/>
    <w:uiPriority w:val="99"/>
    <w:semiHidden/>
    <w:unhideWhenUsed/>
    <w:rsid w:val="00E346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4609"/>
    <w:rPr>
      <w:sz w:val="18"/>
      <w:szCs w:val="18"/>
    </w:rPr>
  </w:style>
  <w:style w:type="character" w:styleId="a5">
    <w:name w:val="Strong"/>
    <w:basedOn w:val="a0"/>
    <w:uiPriority w:val="22"/>
    <w:qFormat/>
    <w:rsid w:val="00E34609"/>
    <w:rPr>
      <w:b/>
      <w:bCs/>
    </w:rPr>
  </w:style>
  <w:style w:type="paragraph" w:styleId="a6">
    <w:name w:val="Normal (Web)"/>
    <w:basedOn w:val="a"/>
    <w:uiPriority w:val="99"/>
    <w:unhideWhenUsed/>
    <w:rsid w:val="00E34609"/>
    <w:pPr>
      <w:widowControl/>
      <w:spacing w:before="100" w:beforeAutospacing="1" w:after="100" w:afterAutospacing="1"/>
      <w:jc w:val="left"/>
    </w:pPr>
    <w:rPr>
      <w:rFonts w:ascii="宋体" w:eastAsia="宋体" w:hAnsi="宋体" w:cs="宋体"/>
      <w:color w:val="000000"/>
      <w:kern w:val="0"/>
      <w:sz w:val="24"/>
      <w:szCs w:val="24"/>
    </w:rPr>
  </w:style>
  <w:style w:type="paragraph" w:styleId="a7">
    <w:name w:val="Balloon Text"/>
    <w:basedOn w:val="a"/>
    <w:link w:val="Char1"/>
    <w:uiPriority w:val="99"/>
    <w:semiHidden/>
    <w:unhideWhenUsed/>
    <w:rsid w:val="00E34609"/>
    <w:rPr>
      <w:sz w:val="18"/>
      <w:szCs w:val="18"/>
    </w:rPr>
  </w:style>
  <w:style w:type="character" w:customStyle="1" w:styleId="Char1">
    <w:name w:val="批注框文本 Char"/>
    <w:basedOn w:val="a0"/>
    <w:link w:val="a7"/>
    <w:uiPriority w:val="99"/>
    <w:semiHidden/>
    <w:rsid w:val="00E34609"/>
    <w:rPr>
      <w:sz w:val="18"/>
      <w:szCs w:val="18"/>
    </w:rPr>
  </w:style>
  <w:style w:type="character" w:styleId="a8">
    <w:name w:val="Hyperlink"/>
    <w:basedOn w:val="a0"/>
    <w:uiPriority w:val="99"/>
    <w:unhideWhenUsed/>
    <w:rsid w:val="00E346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3412402">
      <w:bodyDiv w:val="1"/>
      <w:marLeft w:val="0"/>
      <w:marRight w:val="0"/>
      <w:marTop w:val="0"/>
      <w:marBottom w:val="0"/>
      <w:divBdr>
        <w:top w:val="none" w:sz="0" w:space="0" w:color="auto"/>
        <w:left w:val="none" w:sz="0" w:space="0" w:color="auto"/>
        <w:bottom w:val="none" w:sz="0" w:space="0" w:color="auto"/>
        <w:right w:val="none" w:sz="0" w:space="0" w:color="auto"/>
      </w:divBdr>
      <w:divsChild>
        <w:div w:id="32436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jbusiness.com.cn/site1/bjsb/html/2010-08/23/content_108145.ht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549</Words>
  <Characters>3134</Characters>
  <Application>Microsoft Office Word</Application>
  <DocSecurity>0</DocSecurity>
  <Lines>26</Lines>
  <Paragraphs>7</Paragraphs>
  <ScaleCrop>false</ScaleCrop>
  <Company>Lenovo (Beijing) Limited</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2010-08-30T02:04:00Z</dcterms:created>
  <dcterms:modified xsi:type="dcterms:W3CDTF">2010-08-30T02:09:00Z</dcterms:modified>
</cp:coreProperties>
</file>